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90F5C" w:rsidRDefault="00A90F5C" w:rsidP="00B950E7">
      <w:pPr>
        <w:spacing w:line="240" w:lineRule="auto"/>
        <w:jc w:val="center"/>
        <w:rPr>
          <w:b/>
          <w:sz w:val="24"/>
          <w:szCs w:val="24"/>
        </w:rPr>
      </w:pPr>
      <w:r w:rsidRPr="00A90F5C">
        <w:rPr>
          <w:b/>
          <w:sz w:val="24"/>
          <w:szCs w:val="24"/>
        </w:rPr>
        <w:t xml:space="preserve">MANEJO DO </w:t>
      </w:r>
      <w:r w:rsidR="001C1268" w:rsidRPr="001C1268">
        <w:rPr>
          <w:b/>
          <w:i/>
          <w:sz w:val="24"/>
          <w:szCs w:val="24"/>
        </w:rPr>
        <w:t>GREENING</w:t>
      </w:r>
      <w:r w:rsidRPr="00A90F5C">
        <w:rPr>
          <w:b/>
          <w:sz w:val="24"/>
          <w:szCs w:val="24"/>
        </w:rPr>
        <w:t xml:space="preserve"> OU HUANGLONGBING (HLB)</w:t>
      </w:r>
    </w:p>
    <w:p w:rsidR="003570B1" w:rsidRDefault="003570B1" w:rsidP="00A90F5C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J</w:t>
      </w:r>
      <w:r w:rsidR="00B950E7">
        <w:rPr>
          <w:b/>
          <w:sz w:val="24"/>
          <w:szCs w:val="24"/>
        </w:rPr>
        <w:t>esús</w:t>
      </w:r>
      <w:r>
        <w:rPr>
          <w:b/>
          <w:sz w:val="24"/>
          <w:szCs w:val="24"/>
        </w:rPr>
        <w:t xml:space="preserve"> E</w:t>
      </w:r>
      <w:r w:rsidR="00B950E7">
        <w:rPr>
          <w:b/>
          <w:sz w:val="24"/>
          <w:szCs w:val="24"/>
        </w:rPr>
        <w:t>nrique</w:t>
      </w:r>
      <w:r>
        <w:rPr>
          <w:b/>
          <w:sz w:val="24"/>
          <w:szCs w:val="24"/>
        </w:rPr>
        <w:t xml:space="preserve"> A</w:t>
      </w:r>
      <w:r w:rsidR="00B950E7">
        <w:rPr>
          <w:b/>
          <w:sz w:val="24"/>
          <w:szCs w:val="24"/>
        </w:rPr>
        <w:t>ular</w:t>
      </w:r>
      <w:r>
        <w:rPr>
          <w:b/>
          <w:sz w:val="24"/>
          <w:szCs w:val="24"/>
        </w:rPr>
        <w:t xml:space="preserve"> U</w:t>
      </w:r>
      <w:r w:rsidR="00B950E7">
        <w:rPr>
          <w:b/>
          <w:sz w:val="24"/>
          <w:szCs w:val="24"/>
        </w:rPr>
        <w:t>rrieta</w:t>
      </w:r>
      <w:r w:rsidR="001E1E8A">
        <w:rPr>
          <w:b/>
          <w:sz w:val="24"/>
          <w:szCs w:val="24"/>
        </w:rPr>
        <w:t xml:space="preserve"> *</w:t>
      </w:r>
    </w:p>
    <w:p w:rsidR="002B5FAC" w:rsidRPr="00CF5A58" w:rsidRDefault="002B5FAC" w:rsidP="00A90F5C">
      <w:pPr>
        <w:spacing w:line="240" w:lineRule="auto"/>
        <w:jc w:val="center"/>
        <w:rPr>
          <w:b/>
        </w:rPr>
      </w:pPr>
      <w:r w:rsidRPr="00CF5A58">
        <w:rPr>
          <w:b/>
        </w:rPr>
        <w:t>Resumo</w:t>
      </w:r>
    </w:p>
    <w:p w:rsidR="002B5FAC" w:rsidRPr="00CF5A58" w:rsidRDefault="002B5FAC" w:rsidP="002B5FAC">
      <w:pPr>
        <w:spacing w:line="240" w:lineRule="auto"/>
        <w:jc w:val="both"/>
      </w:pPr>
      <w:r w:rsidRPr="00CF5A58">
        <w:t>O manejo do Huanglongbing no mundo pode ser agrupado em dois enfoques: 1). Conviver com a</w:t>
      </w:r>
      <w:r w:rsidR="00DB47C2" w:rsidRPr="00CF5A58">
        <w:t>s</w:t>
      </w:r>
      <w:r w:rsidRPr="00CF5A58">
        <w:t xml:space="preserve"> plantas doentes e 2). Erradicar as plantas doentes, substituir por </w:t>
      </w:r>
      <w:r w:rsidR="003E27E1" w:rsidRPr="00CF5A58">
        <w:t xml:space="preserve">plantas </w:t>
      </w:r>
      <w:r w:rsidR="003E27E1">
        <w:t>certificadas</w:t>
      </w:r>
      <w:r w:rsidR="006C049B">
        <w:t xml:space="preserve"> / sadias </w:t>
      </w:r>
      <w:r w:rsidRPr="00CF5A58">
        <w:t xml:space="preserve"> e aplicar inseticidas para o controle do vector. Nesta matéria se descreve muito brevemente algumas informações referente ao combate desta importante doença no mundo. O pri</w:t>
      </w:r>
      <w:r w:rsidR="003E27E1">
        <w:t xml:space="preserve">meiro enfoque tem-se mostrado </w:t>
      </w:r>
      <w:r w:rsidRPr="00CF5A58">
        <w:t>eficaz</w:t>
      </w:r>
      <w:r w:rsidR="003E27E1">
        <w:t xml:space="preserve"> porem de difícil implementação nos pomares</w:t>
      </w:r>
      <w:r w:rsidRPr="00CF5A58">
        <w:t xml:space="preserve"> e o segundo tem permitido ao Brasil manter </w:t>
      </w:r>
      <w:r w:rsidR="00682B41" w:rsidRPr="00CF5A58">
        <w:t>a sua</w:t>
      </w:r>
      <w:r w:rsidR="002054E1" w:rsidRPr="00CF5A58">
        <w:t xml:space="preserve"> </w:t>
      </w:r>
      <w:r w:rsidRPr="00CF5A58">
        <w:t xml:space="preserve">importante indústria citrícola.  </w:t>
      </w:r>
    </w:p>
    <w:p w:rsidR="00A90F5C" w:rsidRPr="00CF5A58" w:rsidRDefault="00A90F5C" w:rsidP="00A90F5C">
      <w:pPr>
        <w:spacing w:line="240" w:lineRule="auto"/>
        <w:jc w:val="center"/>
        <w:rPr>
          <w:b/>
        </w:rPr>
      </w:pPr>
      <w:r w:rsidRPr="00CF5A58">
        <w:rPr>
          <w:b/>
        </w:rPr>
        <w:t>Introdução</w:t>
      </w:r>
    </w:p>
    <w:p w:rsidR="00DB47C2" w:rsidRPr="00CF5A58" w:rsidRDefault="00A90F5C" w:rsidP="005E0C37">
      <w:pPr>
        <w:spacing w:line="240" w:lineRule="auto"/>
        <w:jc w:val="both"/>
      </w:pPr>
      <w:r w:rsidRPr="00CF5A58">
        <w:t>Huanglongbing (HLB) ou</w:t>
      </w:r>
      <w:r w:rsidR="00962593" w:rsidRPr="00CF5A58">
        <w:t xml:space="preserve"> </w:t>
      </w:r>
      <w:r w:rsidR="001C1268" w:rsidRPr="00CF5A58">
        <w:rPr>
          <w:i/>
        </w:rPr>
        <w:t>greening</w:t>
      </w:r>
      <w:r w:rsidR="00962593" w:rsidRPr="00CF5A58">
        <w:t xml:space="preserve"> dos citros, é a mais </w:t>
      </w:r>
      <w:r w:rsidR="007D6BBD" w:rsidRPr="00CF5A58">
        <w:t>destrutiva doença</w:t>
      </w:r>
      <w:r w:rsidRPr="00CF5A58">
        <w:t xml:space="preserve"> dos </w:t>
      </w:r>
      <w:r w:rsidR="00DC30CB" w:rsidRPr="00CF5A58">
        <w:t>citros, causando grande ameaça n</w:t>
      </w:r>
      <w:r w:rsidR="00962593" w:rsidRPr="00CF5A58">
        <w:t xml:space="preserve">o </w:t>
      </w:r>
      <w:r w:rsidR="00CF5A58" w:rsidRPr="00CF5A58">
        <w:t>mundo à</w:t>
      </w:r>
      <w:r w:rsidR="00DC30CB" w:rsidRPr="00CF5A58">
        <w:t xml:space="preserve"> </w:t>
      </w:r>
      <w:r w:rsidRPr="00CF5A58">
        <w:t>indústria cítrica. F</w:t>
      </w:r>
      <w:r w:rsidR="00962593" w:rsidRPr="00CF5A58">
        <w:t>oi r</w:t>
      </w:r>
      <w:r w:rsidRPr="00CF5A58">
        <w:t xml:space="preserve">elatada na China em 1919 e na atualidade </w:t>
      </w:r>
      <w:r w:rsidR="00DB47C2" w:rsidRPr="00CF5A58">
        <w:t xml:space="preserve">é </w:t>
      </w:r>
      <w:r w:rsidRPr="00CF5A58">
        <w:t>conhecida</w:t>
      </w:r>
      <w:r w:rsidR="00962593" w:rsidRPr="00CF5A58">
        <w:t xml:space="preserve"> em mais d</w:t>
      </w:r>
      <w:r w:rsidRPr="00CF5A58">
        <w:t xml:space="preserve">e 40 países </w:t>
      </w:r>
      <w:r w:rsidR="00962593" w:rsidRPr="00CF5A58">
        <w:t xml:space="preserve">da Ásia, África, América do Sul e do Norte. </w:t>
      </w:r>
      <w:r w:rsidR="00317EED">
        <w:t>Três espécies de bactérias</w:t>
      </w:r>
      <w:r w:rsidR="00962593" w:rsidRPr="00CF5A58">
        <w:t xml:space="preserve"> nomeadamente </w:t>
      </w:r>
      <w:r w:rsidR="00962593" w:rsidRPr="00CF5A58">
        <w:rPr>
          <w:i/>
        </w:rPr>
        <w:t xml:space="preserve">Candidatus Liberibacter </w:t>
      </w:r>
      <w:proofErr w:type="spellStart"/>
      <w:r w:rsidR="00962593" w:rsidRPr="00CF5A58">
        <w:rPr>
          <w:i/>
        </w:rPr>
        <w:t>asiaticus</w:t>
      </w:r>
      <w:proofErr w:type="spellEnd"/>
      <w:r w:rsidR="00962593" w:rsidRPr="00CF5A58">
        <w:t xml:space="preserve">, </w:t>
      </w:r>
      <w:proofErr w:type="spellStart"/>
      <w:r w:rsidR="00962593" w:rsidRPr="00CF5A58">
        <w:rPr>
          <w:i/>
        </w:rPr>
        <w:t>Candidatus</w:t>
      </w:r>
      <w:proofErr w:type="spellEnd"/>
      <w:r w:rsidR="00962593" w:rsidRPr="00CF5A58">
        <w:t xml:space="preserve"> </w:t>
      </w:r>
      <w:proofErr w:type="spellStart"/>
      <w:r w:rsidR="00962593" w:rsidRPr="00CF5A58">
        <w:rPr>
          <w:i/>
        </w:rPr>
        <w:t>Liberibacter</w:t>
      </w:r>
      <w:proofErr w:type="spellEnd"/>
      <w:r w:rsidR="00962593" w:rsidRPr="00CF5A58">
        <w:rPr>
          <w:i/>
        </w:rPr>
        <w:t xml:space="preserve"> </w:t>
      </w:r>
      <w:proofErr w:type="spellStart"/>
      <w:r w:rsidR="00962593" w:rsidRPr="00CF5A58">
        <w:rPr>
          <w:i/>
        </w:rPr>
        <w:t>africanus</w:t>
      </w:r>
      <w:proofErr w:type="spellEnd"/>
      <w:r w:rsidR="00962593" w:rsidRPr="00CF5A58">
        <w:t xml:space="preserve"> e </w:t>
      </w:r>
      <w:proofErr w:type="spellStart"/>
      <w:r w:rsidR="00962593" w:rsidRPr="00CF5A58">
        <w:rPr>
          <w:i/>
        </w:rPr>
        <w:t>Candidatus</w:t>
      </w:r>
      <w:proofErr w:type="spellEnd"/>
      <w:r w:rsidR="00962593" w:rsidRPr="00CF5A58">
        <w:rPr>
          <w:i/>
        </w:rPr>
        <w:t xml:space="preserve"> </w:t>
      </w:r>
      <w:proofErr w:type="spellStart"/>
      <w:r w:rsidR="00962593" w:rsidRPr="00CF5A58">
        <w:rPr>
          <w:i/>
        </w:rPr>
        <w:t>Liberibacter</w:t>
      </w:r>
      <w:proofErr w:type="spellEnd"/>
      <w:r w:rsidR="00962593" w:rsidRPr="00CF5A58">
        <w:rPr>
          <w:i/>
        </w:rPr>
        <w:t xml:space="preserve"> </w:t>
      </w:r>
      <w:proofErr w:type="spellStart"/>
      <w:r w:rsidR="00962593" w:rsidRPr="00CF5A58">
        <w:rPr>
          <w:i/>
        </w:rPr>
        <w:t>americanus</w:t>
      </w:r>
      <w:proofErr w:type="spellEnd"/>
      <w:r w:rsidR="00962593" w:rsidRPr="00CF5A58">
        <w:rPr>
          <w:i/>
        </w:rPr>
        <w:t xml:space="preserve"> </w:t>
      </w:r>
      <w:r w:rsidR="00DC30CB" w:rsidRPr="00CF5A58">
        <w:t>são as</w:t>
      </w:r>
      <w:r w:rsidR="00962593" w:rsidRPr="00CF5A58">
        <w:t xml:space="preserve"> casuais do HLB, prevalecendo respectivamente no continente da Ásia, África e América do Sul</w:t>
      </w:r>
      <w:r w:rsidR="00DC30CB" w:rsidRPr="00CF5A58">
        <w:t xml:space="preserve">; </w:t>
      </w:r>
      <w:r w:rsidR="00317EED" w:rsidRPr="00CF5A58">
        <w:t>respetivamente</w:t>
      </w:r>
      <w:r w:rsidR="00962593" w:rsidRPr="00CF5A58">
        <w:t>. É um dos assuntos mais amp</w:t>
      </w:r>
      <w:r w:rsidR="00DC30CB" w:rsidRPr="00CF5A58">
        <w:t>lamente pesquisados ​​n</w:t>
      </w:r>
      <w:r w:rsidR="00962593" w:rsidRPr="00CF5A58">
        <w:t>a citricultura.</w:t>
      </w:r>
      <w:r w:rsidR="00DB47C2" w:rsidRPr="00CF5A58">
        <w:t xml:space="preserve"> Foi detectado em 2004 e 2005 no estado de São Paulo n</w:t>
      </w:r>
      <w:r w:rsidR="00962593" w:rsidRPr="00CF5A58">
        <w:t xml:space="preserve">o Brasil e </w:t>
      </w:r>
      <w:r w:rsidR="00DB47C2" w:rsidRPr="00CF5A58">
        <w:t xml:space="preserve">na </w:t>
      </w:r>
      <w:r w:rsidR="00DC30CB" w:rsidRPr="00CF5A58">
        <w:t>Flórida n</w:t>
      </w:r>
      <w:r w:rsidR="00962593" w:rsidRPr="00CF5A58">
        <w:t>os EUA, respectivamente, sendo os dois principais polos de produção de citros do mundo</w:t>
      </w:r>
      <w:r w:rsidR="00DB47C2" w:rsidRPr="00CF5A58">
        <w:t>,</w:t>
      </w:r>
      <w:r w:rsidR="00962593" w:rsidRPr="00CF5A58">
        <w:t xml:space="preserve"> causando enormes perdas econômicas. Desde então</w:t>
      </w:r>
      <w:r w:rsidR="00317EED">
        <w:t xml:space="preserve">, a pesquisa sobre o </w:t>
      </w:r>
      <w:proofErr w:type="spellStart"/>
      <w:r w:rsidR="00317EED">
        <w:t>menejo</w:t>
      </w:r>
      <w:proofErr w:type="spellEnd"/>
      <w:r w:rsidR="00DC30CB" w:rsidRPr="00CF5A58">
        <w:t xml:space="preserve"> de HLB foi acelerada</w:t>
      </w:r>
      <w:r w:rsidR="00962593" w:rsidRPr="00CF5A58">
        <w:t xml:space="preserve">. </w:t>
      </w:r>
    </w:p>
    <w:p w:rsidR="00962593" w:rsidRPr="00CF5A58" w:rsidRDefault="00962593" w:rsidP="005E0C37">
      <w:pPr>
        <w:spacing w:line="240" w:lineRule="auto"/>
        <w:jc w:val="both"/>
      </w:pPr>
      <w:r w:rsidRPr="00CF5A58">
        <w:t xml:space="preserve">O </w:t>
      </w:r>
      <w:r w:rsidR="00317EED">
        <w:t xml:space="preserve">vector das mencionadas bactérias é o </w:t>
      </w:r>
      <w:r w:rsidRPr="00CF5A58">
        <w:t xml:space="preserve">psilídeo </w:t>
      </w:r>
      <w:r w:rsidR="00DB47C2" w:rsidRPr="00CF5A58">
        <w:t xml:space="preserve">asiático dos </w:t>
      </w:r>
      <w:r w:rsidRPr="00CF5A58">
        <w:t>cítrico</w:t>
      </w:r>
      <w:r w:rsidR="00DB47C2" w:rsidRPr="00CF5A58">
        <w:t>s</w:t>
      </w:r>
      <w:r w:rsidRPr="00CF5A58">
        <w:t xml:space="preserve">, </w:t>
      </w:r>
      <w:proofErr w:type="spellStart"/>
      <w:r w:rsidRPr="00CF5A58">
        <w:rPr>
          <w:i/>
        </w:rPr>
        <w:t>Diaphorina</w:t>
      </w:r>
      <w:proofErr w:type="spellEnd"/>
      <w:r w:rsidRPr="00CF5A58">
        <w:rPr>
          <w:i/>
        </w:rPr>
        <w:t xml:space="preserve"> </w:t>
      </w:r>
      <w:proofErr w:type="spellStart"/>
      <w:r w:rsidRPr="00CF5A58">
        <w:rPr>
          <w:i/>
        </w:rPr>
        <w:t>citri</w:t>
      </w:r>
      <w:proofErr w:type="spellEnd"/>
      <w:r w:rsidRPr="00CF5A58">
        <w:t xml:space="preserve"> </w:t>
      </w:r>
      <w:proofErr w:type="spellStart"/>
      <w:r w:rsidRPr="00CF5A58">
        <w:t>Kuwayama</w:t>
      </w:r>
      <w:proofErr w:type="spellEnd"/>
      <w:r w:rsidRPr="00CF5A58">
        <w:t xml:space="preserve"> (</w:t>
      </w:r>
      <w:proofErr w:type="spellStart"/>
      <w:r w:rsidRPr="00CF5A58">
        <w:t>Hemiptera</w:t>
      </w:r>
      <w:proofErr w:type="spellEnd"/>
      <w:r w:rsidRPr="00CF5A58">
        <w:t xml:space="preserve">: </w:t>
      </w:r>
      <w:proofErr w:type="spellStart"/>
      <w:r w:rsidRPr="00CF5A58">
        <w:t>Psyllidae</w:t>
      </w:r>
      <w:proofErr w:type="spellEnd"/>
      <w:r w:rsidRPr="00CF5A58">
        <w:t xml:space="preserve">), </w:t>
      </w:r>
      <w:r w:rsidR="00317EED">
        <w:t>o qual o torna n</w:t>
      </w:r>
      <w:r w:rsidRPr="00CF5A58">
        <w:t>a praga mais imp</w:t>
      </w:r>
      <w:r w:rsidR="00317EED">
        <w:t>ortante da citricultura mundial</w:t>
      </w:r>
      <w:r w:rsidRPr="00CF5A58">
        <w:t xml:space="preserve">. Todos os citros cultivados comercialmente são suscetíveis e materiais tolerantes à expressão da doença ainda não estão disponíveis.  A doença ocorre após um longo período latente após a inoculação e, portanto, a patógeno pode se espalhar amplamente antes da detecção. Os danos ocorridos em Brasil em 2004 e Flórida em 2005 catalisaram um aumento significativo na pesquisa na biologia de </w:t>
      </w:r>
      <w:r w:rsidRPr="00CF5A58">
        <w:rPr>
          <w:i/>
        </w:rPr>
        <w:t xml:space="preserve">D. </w:t>
      </w:r>
      <w:proofErr w:type="spellStart"/>
      <w:r w:rsidRPr="00CF5A58">
        <w:rPr>
          <w:i/>
        </w:rPr>
        <w:t>citri</w:t>
      </w:r>
      <w:proofErr w:type="spellEnd"/>
      <w:r w:rsidRPr="00CF5A58">
        <w:rPr>
          <w:i/>
        </w:rPr>
        <w:t xml:space="preserve">. </w:t>
      </w:r>
      <w:r w:rsidRPr="00CF5A58">
        <w:t>O controle químico é a principal estratégi</w:t>
      </w:r>
      <w:r w:rsidR="00DC30CB" w:rsidRPr="00CF5A58">
        <w:t>a de gestão atualmente empregada</w:t>
      </w:r>
      <w:r w:rsidRPr="00CF5A58">
        <w:t xml:space="preserve">, mas diminuições na suscetibilidade de </w:t>
      </w:r>
      <w:r w:rsidRPr="00CF5A58">
        <w:rPr>
          <w:i/>
        </w:rPr>
        <w:t xml:space="preserve">D. </w:t>
      </w:r>
      <w:proofErr w:type="spellStart"/>
      <w:r w:rsidRPr="00CF5A58">
        <w:rPr>
          <w:i/>
        </w:rPr>
        <w:t>citri</w:t>
      </w:r>
      <w:proofErr w:type="spellEnd"/>
      <w:r w:rsidRPr="00CF5A58">
        <w:t xml:space="preserve"> a vários inseticidas</w:t>
      </w:r>
      <w:r w:rsidR="00BA4D6F" w:rsidRPr="00CF5A58">
        <w:t>, recentemente documentadas,</w:t>
      </w:r>
      <w:r w:rsidRPr="00CF5A58">
        <w:t xml:space="preserve"> ilustram a necessidade de ferramentas mais eficazes.</w:t>
      </w:r>
    </w:p>
    <w:p w:rsidR="00CF5A58" w:rsidRPr="00CF5A58" w:rsidRDefault="00BA4D6F" w:rsidP="00BA4D6F">
      <w:pPr>
        <w:spacing w:line="240" w:lineRule="auto"/>
        <w:jc w:val="both"/>
      </w:pPr>
      <w:r w:rsidRPr="00CF5A58">
        <w:t xml:space="preserve">O avanço científico feito na detecção, disseminação, </w:t>
      </w:r>
      <w:r w:rsidR="00317EED" w:rsidRPr="00CF5A58">
        <w:t>perda econômica causada pelo HLB em diferentes partes do mundo a estratégia</w:t>
      </w:r>
      <w:r w:rsidR="00317EED">
        <w:t>s de manejo</w:t>
      </w:r>
      <w:r w:rsidR="00317EED" w:rsidRPr="00CF5A58">
        <w:t xml:space="preserve"> tem</w:t>
      </w:r>
      <w:r w:rsidR="00317EED">
        <w:t xml:space="preserve"> sido </w:t>
      </w:r>
      <w:proofErr w:type="gramStart"/>
      <w:r w:rsidR="00317EED">
        <w:t>revisadas</w:t>
      </w:r>
      <w:proofErr w:type="gramEnd"/>
      <w:r w:rsidRPr="00CF5A58">
        <w:t xml:space="preserve"> e conquistas notáveis ​​foram</w:t>
      </w:r>
      <w:r w:rsidR="00317EED">
        <w:t xml:space="preserve"> feitas.</w:t>
      </w:r>
      <w:r w:rsidRPr="00CF5A58">
        <w:t xml:space="preserve"> Enquanto esforços estão sendo feitos para desenvolver resistência de cultivares usando ferramentas convencionais e biotecnológicas, a estratégia de manejo que inclui redução da fonte de inóculo, controle do inseto-vetor e replantio com materiais de plantio livres de doenças ainda continua sendo a principal opção para o controle do HLB.</w:t>
      </w:r>
    </w:p>
    <w:p w:rsidR="00A90F5C" w:rsidRPr="00CF5A58" w:rsidRDefault="00A90F5C" w:rsidP="00A90F5C">
      <w:pPr>
        <w:spacing w:line="240" w:lineRule="auto"/>
        <w:jc w:val="center"/>
        <w:rPr>
          <w:b/>
        </w:rPr>
      </w:pPr>
      <w:r w:rsidRPr="00CF5A58">
        <w:rPr>
          <w:b/>
        </w:rPr>
        <w:t>Manejo tentando conviver com a doença</w:t>
      </w:r>
    </w:p>
    <w:p w:rsidR="00962593" w:rsidRPr="00CF5A58" w:rsidRDefault="00317EED" w:rsidP="005E0C37">
      <w:pPr>
        <w:spacing w:line="240" w:lineRule="auto"/>
        <w:jc w:val="both"/>
      </w:pPr>
      <w:r>
        <w:t>Devido a que o HLB é uma doença que não tem cura, principalmente nos Estados Unidos de Norte América tem-se tentado conviver coma mesma a traves de várias estratégias. Assim foi testado o</w:t>
      </w:r>
      <w:r w:rsidR="00962593" w:rsidRPr="00CF5A58">
        <w:t xml:space="preserve"> uso de programas nutricionais aprimorados (</w:t>
      </w:r>
      <w:proofErr w:type="spellStart"/>
      <w:r w:rsidR="00962593" w:rsidRPr="00CF5A58">
        <w:t>PEVs</w:t>
      </w:r>
      <w:proofErr w:type="spellEnd"/>
      <w:r w:rsidR="00962593" w:rsidRPr="00CF5A58">
        <w:t xml:space="preserve">) para minimizar os efeitos deletérios </w:t>
      </w:r>
      <w:r w:rsidR="00BA4D6F" w:rsidRPr="00CF5A58">
        <w:t>do HLB</w:t>
      </w:r>
      <w:r>
        <w:t>;</w:t>
      </w:r>
      <w:r w:rsidR="00962593" w:rsidRPr="00CF5A58">
        <w:t xml:space="preserve"> </w:t>
      </w:r>
      <w:r>
        <w:t>por</w:t>
      </w:r>
      <w:r w:rsidR="00F57C3B">
        <w:t>ém</w:t>
      </w:r>
      <w:r>
        <w:t>, a</w:t>
      </w:r>
      <w:r w:rsidR="00BA4D6F" w:rsidRPr="00CF5A58">
        <w:t xml:space="preserve"> maioria dos relatos dos efeitos</w:t>
      </w:r>
      <w:r w:rsidR="00962593" w:rsidRPr="00CF5A58">
        <w:t xml:space="preserve"> dos </w:t>
      </w:r>
      <w:proofErr w:type="spellStart"/>
      <w:r w:rsidR="00962593" w:rsidRPr="00CF5A58">
        <w:t>PEVs</w:t>
      </w:r>
      <w:proofErr w:type="spellEnd"/>
      <w:r w:rsidR="00962593" w:rsidRPr="00CF5A58">
        <w:t xml:space="preserve"> são anedóticos ou baseados em ensaios não replicados</w:t>
      </w:r>
      <w:r w:rsidR="00BA4D6F" w:rsidRPr="00CF5A58">
        <w:t>, sem tratamento controle,</w:t>
      </w:r>
      <w:r w:rsidR="00962593" w:rsidRPr="00CF5A58">
        <w:t xml:space="preserve"> delineamento experimental </w:t>
      </w:r>
      <w:r w:rsidR="00BA4D6F" w:rsidRPr="00CF5A58">
        <w:t>inadequado ou</w:t>
      </w:r>
      <w:r w:rsidR="00962593" w:rsidRPr="00CF5A58">
        <w:t xml:space="preserve"> análise com rigor estatístico</w:t>
      </w:r>
      <w:r w:rsidR="00BA4D6F" w:rsidRPr="00CF5A58">
        <w:t xml:space="preserve"> insuficiente</w:t>
      </w:r>
      <w:r w:rsidR="00962593" w:rsidRPr="00CF5A58">
        <w:t xml:space="preserve">. Mesmo assim, </w:t>
      </w:r>
      <w:r w:rsidR="00BA4D6F" w:rsidRPr="00CF5A58">
        <w:t xml:space="preserve">produtores de </w:t>
      </w:r>
      <w:r w:rsidR="00962593" w:rsidRPr="00CF5A58">
        <w:t>citr</w:t>
      </w:r>
      <w:r w:rsidR="00BA4D6F" w:rsidRPr="00CF5A58">
        <w:t>u</w:t>
      </w:r>
      <w:r w:rsidR="00962593" w:rsidRPr="00CF5A58">
        <w:t xml:space="preserve">s da Flórida usam essa abordagem não comprovada e não </w:t>
      </w:r>
      <w:r w:rsidR="00BA4D6F" w:rsidRPr="00CF5A58">
        <w:t>validada para o gerenciamento do</w:t>
      </w:r>
      <w:r w:rsidR="00962593" w:rsidRPr="00CF5A58">
        <w:t xml:space="preserve"> HLB </w:t>
      </w:r>
      <w:r w:rsidR="00BA4D6F" w:rsidRPr="00CF5A58">
        <w:t>no lugar</w:t>
      </w:r>
      <w:r w:rsidR="00962593" w:rsidRPr="00CF5A58">
        <w:t xml:space="preserve"> de métodos convencionais</w:t>
      </w:r>
      <w:r w:rsidR="00BA4D6F" w:rsidRPr="00CF5A58">
        <w:t xml:space="preserve"> de</w:t>
      </w:r>
      <w:r w:rsidR="00962593" w:rsidRPr="00CF5A58">
        <w:t xml:space="preserve"> controle integrado de inóculo</w:t>
      </w:r>
      <w:r w:rsidR="00BA4D6F" w:rsidRPr="00CF5A58">
        <w:t>,</w:t>
      </w:r>
      <w:r w:rsidR="00962593" w:rsidRPr="00CF5A58">
        <w:t xml:space="preserve"> que inclui a remoção de árvores sintomáticas para reduzir o inóculo e o </w:t>
      </w:r>
      <w:r w:rsidR="00BA4D6F" w:rsidRPr="00CF5A58">
        <w:t xml:space="preserve">controle do vetor </w:t>
      </w:r>
      <w:r w:rsidR="00962593" w:rsidRPr="00CF5A58">
        <w:t xml:space="preserve">com inseticida. A formulação dos </w:t>
      </w:r>
      <w:proofErr w:type="spellStart"/>
      <w:r w:rsidR="00962593" w:rsidRPr="00CF5A58">
        <w:t>PEVs</w:t>
      </w:r>
      <w:proofErr w:type="spellEnd"/>
      <w:r w:rsidR="00962593" w:rsidRPr="00CF5A58">
        <w:t xml:space="preserve"> </w:t>
      </w:r>
      <w:r w:rsidR="00962593" w:rsidRPr="00CF5A58">
        <w:lastRenderedPageBreak/>
        <w:t>varia consideravelmente, mas geralmente consiste em aplicações de micronutrientes essenciais padrões, sais de fosfito e, em alguns programas, sais de sílice.</w:t>
      </w:r>
    </w:p>
    <w:p w:rsidR="00756693" w:rsidRPr="00CF5A58" w:rsidRDefault="00317EED" w:rsidP="005E0C37">
      <w:pPr>
        <w:spacing w:line="240" w:lineRule="auto"/>
        <w:jc w:val="both"/>
      </w:pPr>
      <w:r>
        <w:t xml:space="preserve">Também tem sido testado durante </w:t>
      </w:r>
      <w:r w:rsidR="00EC44A3">
        <w:t xml:space="preserve">o </w:t>
      </w:r>
      <w:r w:rsidR="00EC44A3" w:rsidRPr="00CF5A58">
        <w:t>aumento</w:t>
      </w:r>
      <w:r w:rsidR="00BA4D6F" w:rsidRPr="00CF5A58">
        <w:t xml:space="preserve"> nas populações</w:t>
      </w:r>
      <w:r w:rsidR="00962593" w:rsidRPr="00CF5A58">
        <w:t xml:space="preserve"> do vetor </w:t>
      </w:r>
      <w:r w:rsidR="00EC44A3">
        <w:t>quando a</w:t>
      </w:r>
      <w:r w:rsidR="00F57C3B">
        <w:t xml:space="preserve"> </w:t>
      </w:r>
      <w:r w:rsidR="00962593" w:rsidRPr="00CF5A58">
        <w:rPr>
          <w:i/>
        </w:rPr>
        <w:t xml:space="preserve">D. </w:t>
      </w:r>
      <w:proofErr w:type="spellStart"/>
      <w:r w:rsidR="00962593" w:rsidRPr="00CF5A58">
        <w:rPr>
          <w:i/>
        </w:rPr>
        <w:t>citri</w:t>
      </w:r>
      <w:proofErr w:type="spellEnd"/>
      <w:r w:rsidR="00BA4D6F" w:rsidRPr="00CF5A58">
        <w:t xml:space="preserve"> aumenta</w:t>
      </w:r>
      <w:r w:rsidR="00962593" w:rsidRPr="00CF5A58">
        <w:t xml:space="preserve"> durante os períodos de produção de novos fluxos</w:t>
      </w:r>
      <w:r w:rsidR="004E0939" w:rsidRPr="00CF5A58">
        <w:t xml:space="preserve"> vegetativos à</w:t>
      </w:r>
      <w:r w:rsidR="00962593" w:rsidRPr="00CF5A58">
        <w:t xml:space="preserve"> medida que as fême</w:t>
      </w:r>
      <w:r w:rsidR="00BA4D6F" w:rsidRPr="00CF5A58">
        <w:t>as se agrega</w:t>
      </w:r>
      <w:r w:rsidR="004E0939" w:rsidRPr="00CF5A58">
        <w:t>m para botar ovos</w:t>
      </w:r>
      <w:r w:rsidR="00962593" w:rsidRPr="00CF5A58">
        <w:t>.</w:t>
      </w:r>
      <w:r w:rsidR="004E0939" w:rsidRPr="00CF5A58">
        <w:t xml:space="preserve"> Nesse </w:t>
      </w:r>
      <w:r w:rsidR="005E0C37" w:rsidRPr="00CF5A58">
        <w:t>momento foi</w:t>
      </w:r>
      <w:r w:rsidR="004E0939" w:rsidRPr="00CF5A58">
        <w:t xml:space="preserve"> </w:t>
      </w:r>
      <w:r w:rsidR="005E0C37" w:rsidRPr="00CF5A58">
        <w:t>usado óleo</w:t>
      </w:r>
      <w:r w:rsidR="004E0939" w:rsidRPr="00CF5A58">
        <w:t xml:space="preserve"> </w:t>
      </w:r>
      <w:r w:rsidR="00962593" w:rsidRPr="00CF5A58">
        <w:t>mineral hortícola</w:t>
      </w:r>
      <w:r w:rsidR="00BA4D6F" w:rsidRPr="00CF5A58">
        <w:t>,</w:t>
      </w:r>
      <w:r w:rsidR="004E0939" w:rsidRPr="00CF5A58">
        <w:t xml:space="preserve"> </w:t>
      </w:r>
      <w:r w:rsidR="005E0C37" w:rsidRPr="00CF5A58">
        <w:t>o qual reduziu</w:t>
      </w:r>
      <w:r w:rsidR="004E0939" w:rsidRPr="00CF5A58">
        <w:t xml:space="preserve"> a propagação do HLB, pois</w:t>
      </w:r>
      <w:r w:rsidR="00962593" w:rsidRPr="00CF5A58">
        <w:t xml:space="preserve"> produziu um nível signif</w:t>
      </w:r>
      <w:r w:rsidR="00BA4D6F" w:rsidRPr="00CF5A58">
        <w:t xml:space="preserve">icativamente menor </w:t>
      </w:r>
      <w:r w:rsidR="004E0939" w:rsidRPr="00CF5A58">
        <w:t>de árvores</w:t>
      </w:r>
      <w:r w:rsidR="00962593" w:rsidRPr="00CF5A58">
        <w:t xml:space="preserve"> cítricas doentes</w:t>
      </w:r>
      <w:r w:rsidR="001C1268" w:rsidRPr="00CF5A58">
        <w:t xml:space="preserve"> (11,43%)</w:t>
      </w:r>
      <w:r w:rsidR="00962593" w:rsidRPr="00CF5A58">
        <w:t xml:space="preserve"> em comparação com 42,20% em parcelas de controle não tratadas.</w:t>
      </w:r>
    </w:p>
    <w:p w:rsidR="004E0939" w:rsidRPr="00CF5A58" w:rsidRDefault="00EC44A3" w:rsidP="005E0C37">
      <w:pPr>
        <w:spacing w:line="240" w:lineRule="auto"/>
        <w:jc w:val="both"/>
      </w:pPr>
      <w:r>
        <w:t xml:space="preserve">Por outra parte tem-se avaliados </w:t>
      </w:r>
      <w:r w:rsidR="004E0939" w:rsidRPr="00CF5A58">
        <w:t xml:space="preserve">Indutores de resistência adquirida (SAR) </w:t>
      </w:r>
      <w:r w:rsidR="00F57C3B">
        <w:t>p</w:t>
      </w:r>
      <w:r w:rsidR="004E0939" w:rsidRPr="00CF5A58">
        <w:t xml:space="preserve">ara </w:t>
      </w:r>
      <w:r>
        <w:t>o combate da HLB foram testados:</w:t>
      </w:r>
      <w:r w:rsidR="004E0939" w:rsidRPr="00CF5A58">
        <w:t xml:space="preserve"> </w:t>
      </w:r>
      <w:proofErr w:type="spellStart"/>
      <w:r w:rsidR="004E0939" w:rsidRPr="00CF5A58">
        <w:t>acibenzolar</w:t>
      </w:r>
      <w:proofErr w:type="spellEnd"/>
      <w:r w:rsidR="004E0939" w:rsidRPr="00CF5A58">
        <w:t xml:space="preserve">-S-metil (ASM), </w:t>
      </w:r>
      <w:proofErr w:type="spellStart"/>
      <w:r w:rsidR="004E0939" w:rsidRPr="00CF5A58">
        <w:t>imidacloprid</w:t>
      </w:r>
      <w:proofErr w:type="spellEnd"/>
      <w:r w:rsidR="004E0939" w:rsidRPr="00CF5A58">
        <w:t xml:space="preserve"> (IMI), ácido 2,6-dicloroisonicotínico (INA) e ácido salicílico (SA), aplicados individualmente por pulverização foliar, encharcamento do solo ou </w:t>
      </w:r>
      <w:r w:rsidR="001C1268" w:rsidRPr="00CF5A58">
        <w:t>injeção no tronco em várias concentraçõe</w:t>
      </w:r>
      <w:r w:rsidR="004E0939" w:rsidRPr="00CF5A58">
        <w:t xml:space="preserve">s e </w:t>
      </w:r>
      <w:r w:rsidR="005E0C37" w:rsidRPr="00CF5A58">
        <w:t>frequências, em</w:t>
      </w:r>
      <w:r w:rsidR="004E0939" w:rsidRPr="00CF5A58">
        <w:t xml:space="preserve"> um ensaio de campo de 3 anos com laranjeiras doces </w:t>
      </w:r>
      <w:r w:rsidR="001C1268" w:rsidRPr="00CF5A58">
        <w:t>‘</w:t>
      </w:r>
      <w:proofErr w:type="spellStart"/>
      <w:r w:rsidR="004E0939" w:rsidRPr="00CF5A58">
        <w:t>Hamlin</w:t>
      </w:r>
      <w:proofErr w:type="spellEnd"/>
      <w:r w:rsidR="001C1268" w:rsidRPr="00CF5A58">
        <w:t>’</w:t>
      </w:r>
      <w:r w:rsidR="004E0939" w:rsidRPr="00CF5A58">
        <w:t xml:space="preserve"> </w:t>
      </w:r>
      <w:r w:rsidR="001C1268" w:rsidRPr="00CF5A58">
        <w:t>adultas no centro da Flórida, EUA nas safras</w:t>
      </w:r>
      <w:r w:rsidR="004E0939" w:rsidRPr="00CF5A58">
        <w:t xml:space="preserve"> 2016</w:t>
      </w:r>
      <w:r w:rsidR="001C1268" w:rsidRPr="00CF5A58">
        <w:t>,</w:t>
      </w:r>
      <w:r w:rsidR="004E0939" w:rsidRPr="00CF5A58">
        <w:t xml:space="preserve"> 2017 e 2018. Seis pulverizações foliares, seis aplicações no solo e três injeções no tronco de ASM, IMI, INA ou AS por ano foram conduzidos com </w:t>
      </w:r>
      <w:r w:rsidR="001C1268" w:rsidRPr="00CF5A58">
        <w:t xml:space="preserve">um </w:t>
      </w:r>
      <w:r w:rsidR="004E0939" w:rsidRPr="00CF5A58">
        <w:t>controle negativo</w:t>
      </w:r>
      <w:r w:rsidR="001C1268" w:rsidRPr="00CF5A58">
        <w:t xml:space="preserve"> (árvores não tratadas)</w:t>
      </w:r>
      <w:r w:rsidR="004E0939" w:rsidRPr="00CF5A58">
        <w:t>. Foi aval</w:t>
      </w:r>
      <w:r w:rsidR="001C1268" w:rsidRPr="00CF5A58">
        <w:t xml:space="preserve">iada a severidade da doença, </w:t>
      </w:r>
      <w:r w:rsidR="004E0939" w:rsidRPr="00CF5A58">
        <w:t>queda de frutos pré-colheita, produtividade e qualida</w:t>
      </w:r>
      <w:r w:rsidR="001C1268" w:rsidRPr="00CF5A58">
        <w:t xml:space="preserve">de </w:t>
      </w:r>
      <w:r w:rsidR="00DC30CB" w:rsidRPr="00CF5A58">
        <w:t>dos frutos</w:t>
      </w:r>
      <w:r w:rsidR="001C1268" w:rsidRPr="00CF5A58">
        <w:t>. Concluiu-se que as injeções no</w:t>
      </w:r>
      <w:r w:rsidR="004E0939" w:rsidRPr="00CF5A58">
        <w:t xml:space="preserve"> tronco a 0,25 g/árvore e pulverizações foliares de INA ou SA (mas não ASM ou IMI) a 0,5 g/árvore</w:t>
      </w:r>
      <w:r w:rsidR="001C1268" w:rsidRPr="00CF5A58">
        <w:t xml:space="preserve"> aumentaram a produção de frutos,</w:t>
      </w:r>
      <w:r w:rsidR="004E0939" w:rsidRPr="00CF5A58">
        <w:t xml:space="preserve"> reduziram significativamente a </w:t>
      </w:r>
      <w:r w:rsidR="005E0C37" w:rsidRPr="00CF5A58">
        <w:t>severidade da doença</w:t>
      </w:r>
      <w:r w:rsidR="004E0939" w:rsidRPr="00CF5A58">
        <w:t>,</w:t>
      </w:r>
      <w:r w:rsidR="005E0C37" w:rsidRPr="00CF5A58">
        <w:t xml:space="preserve"> a</w:t>
      </w:r>
      <w:r w:rsidR="004E0939" w:rsidRPr="00CF5A58">
        <w:t xml:space="preserve"> população</w:t>
      </w:r>
      <w:r w:rsidR="001C1268" w:rsidRPr="00CF5A58">
        <w:t xml:space="preserve"> de</w:t>
      </w:r>
      <w:r w:rsidR="005E0C37" w:rsidRPr="00CF5A58">
        <w:t xml:space="preserve"> </w:t>
      </w:r>
      <w:r w:rsidR="001C1268" w:rsidRPr="00CF5A58">
        <w:t>bactérias e</w:t>
      </w:r>
      <w:r w:rsidR="005E0C37" w:rsidRPr="00CF5A58">
        <w:t xml:space="preserve"> a</w:t>
      </w:r>
      <w:r w:rsidR="004E0939" w:rsidRPr="00CF5A58">
        <w:t xml:space="preserve"> queda de frutos</w:t>
      </w:r>
      <w:r w:rsidR="001C1268" w:rsidRPr="00CF5A58">
        <w:t>;</w:t>
      </w:r>
      <w:r w:rsidR="004E0939" w:rsidRPr="00CF5A58">
        <w:t xml:space="preserve"> enquanto todos os tratamentos de pulver</w:t>
      </w:r>
      <w:r w:rsidR="005E0C37" w:rsidRPr="00CF5A58">
        <w:t xml:space="preserve">ização foliar a 0,25 g/árvore, e </w:t>
      </w:r>
      <w:r w:rsidR="004E0939" w:rsidRPr="00CF5A58">
        <w:t>tratamentos de injeção a 0,125 g/árvore, e tratamentos de encharcamento do solo a 0,25 ou 0,5 g/árvore não pro</w:t>
      </w:r>
      <w:r w:rsidR="001C1268" w:rsidRPr="00CF5A58">
        <w:t>porcionaram controle efetivo da doença</w:t>
      </w:r>
      <w:r w:rsidR="004E0939" w:rsidRPr="00CF5A58">
        <w:t>. Nenhum dos tratamentos indutores d</w:t>
      </w:r>
      <w:r w:rsidR="001C1268" w:rsidRPr="00CF5A58">
        <w:t>e resistência</w:t>
      </w:r>
      <w:r w:rsidR="005E0C37" w:rsidRPr="00CF5A58">
        <w:t xml:space="preserve"> teve efeito significativo </w:t>
      </w:r>
      <w:r w:rsidR="004E0939" w:rsidRPr="00CF5A58">
        <w:t>na qualidade dos frutos. A análise econômica sugeriu que os tratamentos de injeção de tronco</w:t>
      </w:r>
      <w:r w:rsidR="005E0C37" w:rsidRPr="00CF5A58">
        <w:t xml:space="preserve"> a 0,25 g/árvore podem produzir </w:t>
      </w:r>
      <w:r w:rsidR="004E0939" w:rsidRPr="00CF5A58">
        <w:t xml:space="preserve">benefícios. </w:t>
      </w:r>
    </w:p>
    <w:p w:rsidR="00A90F5C" w:rsidRPr="00CF5A58" w:rsidRDefault="00EC44A3" w:rsidP="005179B6">
      <w:pPr>
        <w:spacing w:line="240" w:lineRule="auto"/>
        <w:jc w:val="both"/>
      </w:pPr>
      <w:r>
        <w:t xml:space="preserve"> Finalmente c</w:t>
      </w:r>
      <w:r w:rsidR="005E0C37" w:rsidRPr="00CF5A58">
        <w:t>omo uma estratégia de controle</w:t>
      </w:r>
      <w:r>
        <w:t xml:space="preserve"> potencial </w:t>
      </w:r>
      <w:r w:rsidRPr="00CF5A58">
        <w:t>do</w:t>
      </w:r>
      <w:r w:rsidR="005E0C37" w:rsidRPr="00CF5A58">
        <w:t xml:space="preserve"> HLB dos citros, 31</w:t>
      </w:r>
      <w:r>
        <w:t xml:space="preserve"> antibióticos foram avaliados na</w:t>
      </w:r>
      <w:r w:rsidR="005E0C37" w:rsidRPr="00CF5A58">
        <w:t xml:space="preserve"> eficácia</w:t>
      </w:r>
      <w:r>
        <w:t xml:space="preserve"> de controle </w:t>
      </w:r>
      <w:r w:rsidRPr="00CF5A58">
        <w:t xml:space="preserve">e </w:t>
      </w:r>
      <w:r>
        <w:t xml:space="preserve">na </w:t>
      </w:r>
      <w:r w:rsidR="005E0C37" w:rsidRPr="00CF5A58">
        <w:t>fitotoxicidade usando o sistema de triagem baseado em enxerto com citros infectados com ‘Candidatu</w:t>
      </w:r>
      <w:r>
        <w:t xml:space="preserve">s </w:t>
      </w:r>
      <w:proofErr w:type="spellStart"/>
      <w:r>
        <w:t>Liberibacter</w:t>
      </w:r>
      <w:proofErr w:type="spellEnd"/>
      <w:r>
        <w:t xml:space="preserve"> </w:t>
      </w:r>
      <w:proofErr w:type="spellStart"/>
      <w:r>
        <w:t>asiaticus</w:t>
      </w:r>
      <w:proofErr w:type="spellEnd"/>
      <w:r>
        <w:t>’ (</w:t>
      </w:r>
      <w:proofErr w:type="spellStart"/>
      <w:r>
        <w:t>Las</w:t>
      </w:r>
      <w:proofErr w:type="spellEnd"/>
      <w:r>
        <w:t>)</w:t>
      </w:r>
      <w:r w:rsidR="005E0C37" w:rsidRPr="00CF5A58">
        <w:t xml:space="preserve">. Foi obtido que 29 antibióticos foram agrupados em 3 grupos: altamente eficaz, parcialmente eficaz, e não eficaz. Apesar de diferentes modos de ação, vários antibióticos como Ampicilina, Carbenicilina, Penicilina, Cefalexina, Rifampicina e Sulfadimetoxina foram altamente eficazes na </w:t>
      </w:r>
      <w:r>
        <w:t>eliminação ou supressão da bactéria</w:t>
      </w:r>
      <w:r w:rsidR="005E0C37" w:rsidRPr="00CF5A58">
        <w:t>. O grupo não efetivo, incluindo 11 antibióticos isolados com três controles, como Amicacina, Cinoxacina, Gentamicina, Casugamicina, Lincomicina, Neomicina, Polimixina B e Tobramicina, não eliminaram ou suprimiram as populações das bactérias nas concentrações testadas. Os outros 12 antibióticos elimina</w:t>
      </w:r>
      <w:r w:rsidR="003E27E1">
        <w:t>ram parcialmente ou suprimiram a</w:t>
      </w:r>
      <w:r w:rsidR="005E0C37" w:rsidRPr="00CF5A58">
        <w:t xml:space="preserve"> </w:t>
      </w:r>
      <w:proofErr w:type="spellStart"/>
      <w:r w:rsidR="005E0C37" w:rsidRPr="00CF5A58">
        <w:t>Las</w:t>
      </w:r>
      <w:proofErr w:type="spellEnd"/>
      <w:r w:rsidR="005E0C37" w:rsidRPr="00CF5A58">
        <w:t xml:space="preserve">. </w:t>
      </w:r>
      <w:r>
        <w:t xml:space="preserve"> </w:t>
      </w:r>
      <w:r w:rsidR="005E0C37" w:rsidRPr="00CF5A58">
        <w:t>Os antibióticos eficazes e não fitotóxicos podem ser candidatos poten</w:t>
      </w:r>
      <w:r w:rsidR="001C1268" w:rsidRPr="00CF5A58">
        <w:t>ciais para o controle do</w:t>
      </w:r>
      <w:r w:rsidR="005E0C37" w:rsidRPr="00CF5A58">
        <w:t xml:space="preserve"> HLB, seja para resgate de germoplasma cítrico infectado ou para aplicação restrita em campo.</w:t>
      </w:r>
    </w:p>
    <w:p w:rsidR="00A90F5C" w:rsidRPr="00CF5A58" w:rsidRDefault="00A90F5C" w:rsidP="00A90F5C">
      <w:pPr>
        <w:spacing w:line="240" w:lineRule="auto"/>
        <w:jc w:val="center"/>
        <w:rPr>
          <w:b/>
        </w:rPr>
      </w:pPr>
      <w:r w:rsidRPr="00CF5A58">
        <w:rPr>
          <w:b/>
        </w:rPr>
        <w:t>Manejo realizado no Brasil</w:t>
      </w:r>
    </w:p>
    <w:p w:rsidR="00A90F5C" w:rsidRPr="00CF5A58" w:rsidRDefault="00A90F5C" w:rsidP="00A90F5C">
      <w:pPr>
        <w:spacing w:line="240" w:lineRule="auto"/>
        <w:jc w:val="both"/>
      </w:pPr>
      <w:r w:rsidRPr="00CF5A58">
        <w:t>Segundo FUNDECITRUS</w:t>
      </w:r>
      <w:r w:rsidR="001C1268" w:rsidRPr="00CF5A58">
        <w:t xml:space="preserve"> </w:t>
      </w:r>
      <w:r w:rsidRPr="00CF5A58">
        <w:t>(2019), a rápida disseminação da doença entre os talhões do pomar e dos pomares vizinhos deve-se à alta capacidade de d</w:t>
      </w:r>
      <w:r w:rsidR="00EC44A3">
        <w:t xml:space="preserve">ispersão a longas distâncias d a </w:t>
      </w:r>
      <w:proofErr w:type="spellStart"/>
      <w:r w:rsidRPr="00CF5A58">
        <w:rPr>
          <w:i/>
        </w:rPr>
        <w:t>Diaphorina</w:t>
      </w:r>
      <w:proofErr w:type="spellEnd"/>
      <w:r w:rsidRPr="00CF5A58">
        <w:rPr>
          <w:i/>
        </w:rPr>
        <w:t xml:space="preserve"> </w:t>
      </w:r>
      <w:proofErr w:type="spellStart"/>
      <w:r w:rsidRPr="00CF5A58">
        <w:rPr>
          <w:i/>
        </w:rPr>
        <w:t>citri</w:t>
      </w:r>
      <w:proofErr w:type="spellEnd"/>
      <w:r w:rsidRPr="00CF5A58">
        <w:t>. A doença e o inseto transmissor também podem ser disseminados com</w:t>
      </w:r>
      <w:r w:rsidR="001C1268" w:rsidRPr="00CF5A58">
        <w:t xml:space="preserve"> </w:t>
      </w:r>
      <w:r w:rsidRPr="00CF5A58">
        <w:t>o transporte de plantas de citros (laranjas, tangerinas, limas e limões) e da murta (</w:t>
      </w:r>
      <w:proofErr w:type="spellStart"/>
      <w:r w:rsidRPr="00CF5A58">
        <w:rPr>
          <w:i/>
        </w:rPr>
        <w:t>Murraya</w:t>
      </w:r>
      <w:proofErr w:type="spellEnd"/>
      <w:r w:rsidRPr="00CF5A58">
        <w:rPr>
          <w:i/>
        </w:rPr>
        <w:t xml:space="preserve"> </w:t>
      </w:r>
      <w:proofErr w:type="spellStart"/>
      <w:r w:rsidRPr="00CF5A58">
        <w:rPr>
          <w:i/>
        </w:rPr>
        <w:t>paniculata</w:t>
      </w:r>
      <w:proofErr w:type="spellEnd"/>
      <w:r w:rsidRPr="00CF5A58">
        <w:t>) infectadas ou com a presença do psilídeo. Após a contaminação da planta, não há nenhuma medida que possa curá</w:t>
      </w:r>
      <w:r w:rsidR="001C1268" w:rsidRPr="00CF5A58">
        <w:t>-</w:t>
      </w:r>
      <w:r w:rsidRPr="00CF5A58">
        <w:t xml:space="preserve">la. Portanto, é necessário eliminá-la para evitar que ela se torne fonte de contaminação das demais árvores do talhão. O impacto do </w:t>
      </w:r>
      <w:r w:rsidR="001C1268" w:rsidRPr="00CF5A58">
        <w:rPr>
          <w:i/>
        </w:rPr>
        <w:t>greening</w:t>
      </w:r>
      <w:r w:rsidRPr="00CF5A58">
        <w:t xml:space="preserve"> nos pomares ocorre devido à queda de produção, queda da qualidade da fruta, perda de longevidade dos pomares, redução da área de cultivo e aumento dos custos de produção, o qual é estimado entre 5 e 15% do custo total da produção dependendo da região.</w:t>
      </w:r>
    </w:p>
    <w:p w:rsidR="00A90F5C" w:rsidRPr="00CF5A58" w:rsidRDefault="00A90F5C" w:rsidP="00A90F5C">
      <w:pPr>
        <w:spacing w:line="240" w:lineRule="auto"/>
        <w:jc w:val="both"/>
      </w:pPr>
      <w:r w:rsidRPr="00CF5A58">
        <w:t xml:space="preserve">O controle do </w:t>
      </w:r>
      <w:r w:rsidR="001C1268" w:rsidRPr="00CF5A58">
        <w:rPr>
          <w:i/>
        </w:rPr>
        <w:t>greening</w:t>
      </w:r>
      <w:r w:rsidRPr="00CF5A58">
        <w:t xml:space="preserve"> deve ser feito de forma rigorosa, com ações de combate à doença dentro e fora da propriedade. Os dez mandamentos, que têm como base pesquisas desenvolvidas ao </w:t>
      </w:r>
      <w:r w:rsidRPr="00CF5A58">
        <w:lastRenderedPageBreak/>
        <w:t xml:space="preserve">longo dos últimos anos pelo </w:t>
      </w:r>
      <w:proofErr w:type="spellStart"/>
      <w:r w:rsidRPr="00CF5A58">
        <w:t>Fundecitrus</w:t>
      </w:r>
      <w:proofErr w:type="spellEnd"/>
      <w:r w:rsidRPr="00CF5A58">
        <w:t xml:space="preserve"> e por instituições parceiras, são práticas de manejo que devem ser adotadas pelos citricultores para que tenham sucesso no controle da doença e mantenham seus pomares produtivos e sustentáveis a longo prazo.</w:t>
      </w:r>
    </w:p>
    <w:p w:rsidR="00A90F5C" w:rsidRPr="00CF5A58" w:rsidRDefault="00A90F5C" w:rsidP="00A90F5C">
      <w:pPr>
        <w:spacing w:line="240" w:lineRule="auto"/>
        <w:jc w:val="both"/>
      </w:pPr>
      <w:r w:rsidRPr="00CF5A58">
        <w:t xml:space="preserve">Os 10 mandamentos para controlar o </w:t>
      </w:r>
      <w:r w:rsidR="001C1268" w:rsidRPr="00CF5A58">
        <w:rPr>
          <w:i/>
        </w:rPr>
        <w:t>greening</w:t>
      </w:r>
      <w:r w:rsidRPr="00CF5A58">
        <w:t xml:space="preserve"> são:</w:t>
      </w:r>
    </w:p>
    <w:p w:rsidR="00A90F5C" w:rsidRPr="00CF5A58" w:rsidRDefault="00A90F5C" w:rsidP="001361D8">
      <w:pPr>
        <w:pStyle w:val="PargrafodaLista"/>
        <w:numPr>
          <w:ilvl w:val="0"/>
          <w:numId w:val="1"/>
        </w:numPr>
        <w:spacing w:line="240" w:lineRule="auto"/>
        <w:jc w:val="both"/>
      </w:pPr>
      <w:r w:rsidRPr="00CF5A58">
        <w:t>PLANEJAMENTO E ESCOLHA DO LOCAL DE PLANTIO</w:t>
      </w:r>
      <w:r w:rsidR="001361D8" w:rsidRPr="00CF5A58">
        <w:t xml:space="preserve">: A escolha da área de plantio deve ser feita com base no histórico de ocorrência do </w:t>
      </w:r>
      <w:r w:rsidR="001C1268" w:rsidRPr="00CF5A58">
        <w:rPr>
          <w:i/>
        </w:rPr>
        <w:t>greening</w:t>
      </w:r>
      <w:r w:rsidR="001361D8" w:rsidRPr="00CF5A58">
        <w:t xml:space="preserve"> na região. Deve-se buscar uma área com baixa incidência da doença ou distante de pomares onde o controle não é realizado ou é feito de</w:t>
      </w:r>
      <w:r w:rsidR="00003C40" w:rsidRPr="00CF5A58">
        <w:t xml:space="preserve"> </w:t>
      </w:r>
      <w:r w:rsidR="001361D8" w:rsidRPr="00CF5A58">
        <w:t>forma inadequada.</w:t>
      </w:r>
    </w:p>
    <w:p w:rsidR="00A90F5C" w:rsidRPr="00CF5A58" w:rsidRDefault="00A90F5C" w:rsidP="001361D8">
      <w:pPr>
        <w:pStyle w:val="PargrafodaLista"/>
        <w:numPr>
          <w:ilvl w:val="0"/>
          <w:numId w:val="1"/>
        </w:numPr>
        <w:spacing w:line="240" w:lineRule="auto"/>
        <w:jc w:val="both"/>
      </w:pPr>
      <w:r w:rsidRPr="00CF5A58">
        <w:t>PLANTIO DE MUDAS SADIAS E DE QUALIDADE</w:t>
      </w:r>
      <w:r w:rsidR="001361D8" w:rsidRPr="00CF5A58">
        <w:t>: Uma muda de qualidade tem três aspectos: sanidade, genética (variedade e porta-enxerto) e vigor, garantindo a precocidade de produção das árvores, boa produtividade e geração de frutos de qualidade.</w:t>
      </w:r>
    </w:p>
    <w:p w:rsidR="00A90F5C" w:rsidRPr="00CF5A58" w:rsidRDefault="00A90F5C" w:rsidP="001361D8">
      <w:pPr>
        <w:pStyle w:val="PargrafodaLista"/>
        <w:numPr>
          <w:ilvl w:val="0"/>
          <w:numId w:val="1"/>
        </w:numPr>
        <w:spacing w:line="240" w:lineRule="auto"/>
        <w:jc w:val="both"/>
      </w:pPr>
      <w:r w:rsidRPr="00CF5A58">
        <w:t>ACELERAÇÃO DO CRESCIMENTO E DA</w:t>
      </w:r>
      <w:r w:rsidR="001361D8" w:rsidRPr="00CF5A58">
        <w:t xml:space="preserve"> </w:t>
      </w:r>
      <w:r w:rsidRPr="00CF5A58">
        <w:t>PRODUTIVIDADE DAS PLANTAS</w:t>
      </w:r>
      <w:r w:rsidR="001361D8" w:rsidRPr="00CF5A58">
        <w:t xml:space="preserve">: A adoção de medidas como adensamento, adubação, irrigação, plantio de mudas com pernada e tratos culturais adequados acelera o crescimento das plantas, antecipa o início da produção e reduz o período de exposição das árvores ao psilídeo na sua fase mais suscetível, que é durante os primeiros cinco anos após o plantio. </w:t>
      </w:r>
      <w:r w:rsidR="001361D8" w:rsidRPr="00CF5A58">
        <w:cr/>
      </w:r>
    </w:p>
    <w:p w:rsidR="00A90F5C" w:rsidRPr="00CF5A58" w:rsidRDefault="00A90F5C" w:rsidP="00003C40">
      <w:pPr>
        <w:pStyle w:val="PargrafodaLista"/>
        <w:numPr>
          <w:ilvl w:val="0"/>
          <w:numId w:val="1"/>
        </w:numPr>
        <w:spacing w:line="240" w:lineRule="auto"/>
        <w:jc w:val="both"/>
      </w:pPr>
      <w:r w:rsidRPr="00CF5A58">
        <w:t>MANEJO INTENSIFICADO NA FAIXA DE BORDA</w:t>
      </w:r>
      <w:r w:rsidR="001361D8" w:rsidRPr="00CF5A58">
        <w:t>: O manejo deve ser intensificado na faixa de borda dos talhões da periferia da propriedade. Nesta área, recomenda-se a realização de pulverizações mais frequentes, em intervalos de 7 a 14 dias, dependendo da incidência do psilídeo. A pulverização de inseticidas apenas ao redor do talhão, atingindo as plantas da periferia, tem baixa eficiência no controle da doença e, portanto, a pulverização deve ser feita em toda a borda</w:t>
      </w:r>
      <w:r w:rsidR="00003C40" w:rsidRPr="00CF5A58">
        <w:t xml:space="preserve"> </w:t>
      </w:r>
      <w:r w:rsidR="001361D8" w:rsidRPr="00CF5A58">
        <w:t>de 100 a 200 m a partir da divisa da propriedade.</w:t>
      </w:r>
    </w:p>
    <w:p w:rsidR="00A90F5C" w:rsidRPr="00CF5A58" w:rsidRDefault="00A90F5C" w:rsidP="007970EA">
      <w:pPr>
        <w:pStyle w:val="PargrafodaLista"/>
        <w:numPr>
          <w:ilvl w:val="0"/>
          <w:numId w:val="1"/>
        </w:numPr>
        <w:spacing w:line="240" w:lineRule="auto"/>
        <w:jc w:val="both"/>
      </w:pPr>
      <w:r w:rsidRPr="00CF5A58">
        <w:t>INSPEÇÃO DE PLANTAS</w:t>
      </w:r>
      <w:r w:rsidR="007D6BBD" w:rsidRPr="00CF5A58">
        <w:t xml:space="preserve">: A inspeção é feita para detectar as plantas doentes, que devem ser eliminadas. Também permite o gerenciamento e avaliação da eficiência do manejo do </w:t>
      </w:r>
      <w:r w:rsidR="001C1268" w:rsidRPr="00CF5A58">
        <w:rPr>
          <w:i/>
        </w:rPr>
        <w:t>greening</w:t>
      </w:r>
      <w:r w:rsidR="007D6BBD" w:rsidRPr="00CF5A58">
        <w:t xml:space="preserve"> adotado na propriedade. As inspeções devem ser intensificadas no período entre fevereiro e julho, época de melhor visualização dos sintomas do </w:t>
      </w:r>
      <w:r w:rsidR="001C1268" w:rsidRPr="00CF5A58">
        <w:rPr>
          <w:i/>
        </w:rPr>
        <w:t>greening</w:t>
      </w:r>
      <w:r w:rsidR="007D6BBD" w:rsidRPr="00CF5A58">
        <w:t xml:space="preserve">. </w:t>
      </w:r>
    </w:p>
    <w:p w:rsidR="00A90F5C" w:rsidRPr="00CF5A58" w:rsidRDefault="00A90F5C" w:rsidP="007970EA">
      <w:pPr>
        <w:pStyle w:val="PargrafodaLista"/>
        <w:numPr>
          <w:ilvl w:val="0"/>
          <w:numId w:val="1"/>
        </w:numPr>
        <w:spacing w:line="240" w:lineRule="auto"/>
        <w:jc w:val="both"/>
      </w:pPr>
      <w:r w:rsidRPr="00CF5A58">
        <w:t>ERRADICAÇÃO DAS PLANTAS COM SINTOMAS</w:t>
      </w:r>
      <w:r w:rsidR="007970EA" w:rsidRPr="00CF5A58">
        <w:t>: A eliminação das plantas deve ser feita por arranquio ou por corte do tronco rente ao solo, seguido de aplicação de herbicidas para evitar brotação. Quando for feito o arranquio, deve-se voltar mais tarde e eliminar os brotos que podem surgir das raízes que ficaram, pois também irão servir de fonte de contaminação das plantas</w:t>
      </w:r>
    </w:p>
    <w:p w:rsidR="00A90F5C" w:rsidRPr="00CF5A58" w:rsidRDefault="00A90F5C" w:rsidP="008F79BC">
      <w:pPr>
        <w:pStyle w:val="PargrafodaLista"/>
        <w:numPr>
          <w:ilvl w:val="0"/>
          <w:numId w:val="1"/>
        </w:numPr>
        <w:spacing w:line="240" w:lineRule="auto"/>
        <w:jc w:val="both"/>
      </w:pPr>
      <w:r w:rsidRPr="00CF5A58">
        <w:t>MONITORAMENTO DO PSILÍDEO</w:t>
      </w:r>
      <w:r w:rsidR="008F79BC" w:rsidRPr="00CF5A58">
        <w:t>: O monitoramento deve ser feito para determinar o momento de chegada do psilídeo no pomar e para orientar qual deverá ser a frequência de pulverizações. Além disso, vai indicar de onde os insetos estão vindo. Sabendo de onde eles vêm, é preciso atuar nestas fontes externas eliminando-as por completo ou, quando não for possível, atuar para evitar que continuem a servir de fonte de contaminação.</w:t>
      </w:r>
    </w:p>
    <w:p w:rsidR="00A90F5C" w:rsidRPr="00CF5A58" w:rsidRDefault="00A90F5C" w:rsidP="008F79BC">
      <w:pPr>
        <w:pStyle w:val="PargrafodaLista"/>
        <w:numPr>
          <w:ilvl w:val="0"/>
          <w:numId w:val="1"/>
        </w:numPr>
        <w:spacing w:line="240" w:lineRule="auto"/>
        <w:jc w:val="both"/>
      </w:pPr>
      <w:r w:rsidRPr="00CF5A58">
        <w:t>CONTROLE DO PSILÍDEO</w:t>
      </w:r>
      <w:r w:rsidR="008F79BC" w:rsidRPr="00CF5A58">
        <w:t xml:space="preserve">: As aplicações de inseticidas devem ser feitas para prevenir a infecção de novas plantas e a disseminação do </w:t>
      </w:r>
      <w:r w:rsidR="001C1268" w:rsidRPr="00CF5A58">
        <w:rPr>
          <w:i/>
        </w:rPr>
        <w:t>greening</w:t>
      </w:r>
      <w:r w:rsidR="008F79BC" w:rsidRPr="00CF5A58">
        <w:t xml:space="preserve"> no pomar. É necessário escolher produtos que façam parte da Lista PIC (Produção Integrada de Citros), que contém os defensivos em conformidade com a legislação internacional. Além disso, deve-se avaliar o histórico de pulverizações e realiza a rotação de grupos químicos com diferentes modos de ação</w:t>
      </w:r>
      <w:r w:rsidR="00003C40" w:rsidRPr="00CF5A58">
        <w:t>.</w:t>
      </w:r>
    </w:p>
    <w:p w:rsidR="00A90F5C" w:rsidRPr="00CF5A58" w:rsidRDefault="00A90F5C" w:rsidP="008F6A24">
      <w:pPr>
        <w:pStyle w:val="PargrafodaLista"/>
        <w:numPr>
          <w:ilvl w:val="0"/>
          <w:numId w:val="1"/>
        </w:numPr>
        <w:spacing w:line="240" w:lineRule="auto"/>
        <w:jc w:val="both"/>
      </w:pPr>
      <w:r w:rsidRPr="00CF5A58">
        <w:t>MANEJO REGIONAL E ALERTA FITOSSANITÁRIO</w:t>
      </w:r>
      <w:r w:rsidR="008F6A24" w:rsidRPr="00CF5A58">
        <w:t xml:space="preserve">: O sucesso do controle do </w:t>
      </w:r>
      <w:r w:rsidR="001C1268" w:rsidRPr="00CF5A58">
        <w:rPr>
          <w:i/>
        </w:rPr>
        <w:t>greening</w:t>
      </w:r>
      <w:r w:rsidR="008F6A24" w:rsidRPr="00CF5A58">
        <w:t xml:space="preserve"> não depende apenas das ações realizadas dentro da propriedade, mas também do manejo regional da doença, que consiste em combatê-la em grandes áreas por vários produtores de uma região ao mesmo tempo. O combate deve ser feito por meio da </w:t>
      </w:r>
      <w:r w:rsidR="008F6A24" w:rsidRPr="00CF5A58">
        <w:lastRenderedPageBreak/>
        <w:t>eliminação das plantas de citros com sintomas e de murtas e do controle do psilídeo em todos os pomares comerciais e não comerciais (pomares abandonados, chácaras e quintais em áreas rural e urbana).</w:t>
      </w:r>
    </w:p>
    <w:p w:rsidR="00A90F5C" w:rsidRPr="00CF5A58" w:rsidRDefault="00A90F5C" w:rsidP="008F6A24">
      <w:pPr>
        <w:pStyle w:val="PargrafodaLista"/>
        <w:numPr>
          <w:ilvl w:val="0"/>
          <w:numId w:val="1"/>
        </w:numPr>
        <w:spacing w:line="240" w:lineRule="auto"/>
        <w:jc w:val="both"/>
      </w:pPr>
      <w:r w:rsidRPr="00CF5A58">
        <w:t>AÇÕES EXTERNAS DE MANEJO</w:t>
      </w:r>
      <w:r w:rsidR="008F6A24" w:rsidRPr="00CF5A58">
        <w:t xml:space="preserve">: Portanto, os citricultores devem atuar nas áreas externas. Inicialmente, o citricultor deve mapear todas as fontes de criação do psilídeo e de contaminação do </w:t>
      </w:r>
      <w:r w:rsidR="001C1268" w:rsidRPr="00CF5A58">
        <w:rPr>
          <w:i/>
        </w:rPr>
        <w:t>greening</w:t>
      </w:r>
      <w:r w:rsidR="008F6A24" w:rsidRPr="00CF5A58">
        <w:t xml:space="preserve"> em um </w:t>
      </w:r>
      <w:r w:rsidR="00003C40" w:rsidRPr="00CF5A58">
        <w:t>rádio</w:t>
      </w:r>
      <w:r w:rsidR="008F6A24" w:rsidRPr="00CF5A58">
        <w:t xml:space="preserve"> de pelo menos 5 km ao redor da sua propriedade. Deve-se incentivar e auxiliar a eliminação dos pomares abandonados </w:t>
      </w:r>
      <w:r w:rsidR="00665AFB" w:rsidRPr="00CF5A58">
        <w:t>e a</w:t>
      </w:r>
      <w:r w:rsidR="008F6A24" w:rsidRPr="00CF5A58">
        <w:t xml:space="preserve"> substituição das plantas de citros e murtas de quintais rurais e urbanos por outras frutíferas ou ornamentais. Se a eliminação das plantas doentes não for possível, deve-se conscientizar os proprietários de pomares mal </w:t>
      </w:r>
      <w:r w:rsidR="00665AFB" w:rsidRPr="00CF5A58">
        <w:t>manejados a</w:t>
      </w:r>
      <w:r w:rsidR="008F6A24" w:rsidRPr="00CF5A58">
        <w:t xml:space="preserve"> aplicar inseticida nas suas plantas para o controle do psilídeo sempre que elas brotarem.</w:t>
      </w:r>
    </w:p>
    <w:p w:rsidR="00665AFB" w:rsidRPr="00CF5A58" w:rsidRDefault="00665AFB" w:rsidP="00665AFB">
      <w:pPr>
        <w:pStyle w:val="PargrafodaLista"/>
        <w:spacing w:line="240" w:lineRule="auto"/>
        <w:jc w:val="center"/>
      </w:pPr>
    </w:p>
    <w:p w:rsidR="00665AFB" w:rsidRPr="00CF5A58" w:rsidRDefault="00665AFB" w:rsidP="00665AFB">
      <w:pPr>
        <w:pStyle w:val="PargrafodaLista"/>
        <w:spacing w:line="240" w:lineRule="auto"/>
        <w:jc w:val="center"/>
        <w:rPr>
          <w:b/>
        </w:rPr>
      </w:pPr>
      <w:r w:rsidRPr="00CF5A58">
        <w:rPr>
          <w:b/>
        </w:rPr>
        <w:t xml:space="preserve">Conclusões </w:t>
      </w:r>
    </w:p>
    <w:p w:rsidR="002B5FAC" w:rsidRPr="00CF5A58" w:rsidRDefault="002B5FAC" w:rsidP="002B5FAC">
      <w:pPr>
        <w:spacing w:line="240" w:lineRule="auto"/>
        <w:jc w:val="both"/>
      </w:pPr>
      <w:r w:rsidRPr="00CF5A58">
        <w:t>A estratégia de conviver com a plantas doentes baseadas no uso de programas nutricionais melhorados,</w:t>
      </w:r>
      <w:r w:rsidR="003570B1" w:rsidRPr="00CF5A58">
        <w:t xml:space="preserve"> uso de indutores de resistência adquirida,</w:t>
      </w:r>
      <w:r w:rsidRPr="00CF5A58">
        <w:t xml:space="preserve"> aplicação de antibióticos ou óleos minerais </w:t>
      </w:r>
      <w:r w:rsidR="002A6A24" w:rsidRPr="00CF5A58">
        <w:t xml:space="preserve">hortícolas mesmo </w:t>
      </w:r>
      <w:r w:rsidR="00A05683">
        <w:t>tendo</w:t>
      </w:r>
      <w:r w:rsidRPr="00CF5A58">
        <w:t xml:space="preserve"> se mostrado </w:t>
      </w:r>
      <w:r w:rsidR="002A6A24" w:rsidRPr="00CF5A58">
        <w:t xml:space="preserve">eficazes a sua implementação em pomares parece não ser razoável. </w:t>
      </w:r>
      <w:r w:rsidRPr="00CF5A58">
        <w:t xml:space="preserve">   </w:t>
      </w:r>
    </w:p>
    <w:p w:rsidR="00E42401" w:rsidRPr="00B950E7" w:rsidRDefault="002B5FAC" w:rsidP="00E42401">
      <w:pPr>
        <w:spacing w:line="240" w:lineRule="auto"/>
        <w:jc w:val="both"/>
      </w:pPr>
      <w:r w:rsidRPr="00CF5A58">
        <w:t>A estratégia de erradicar plantas contaminadas, substituir por plantas sadias y combate do vector com inseticidas tem permitido ao Brasil se manter como</w:t>
      </w:r>
      <w:r w:rsidR="005831AB">
        <w:t xml:space="preserve"> um dos principais</w:t>
      </w:r>
      <w:r w:rsidRPr="00CF5A58">
        <w:t xml:space="preserve"> produtor</w:t>
      </w:r>
      <w:r w:rsidR="005831AB">
        <w:t>es</w:t>
      </w:r>
      <w:r w:rsidRPr="00CF5A58">
        <w:t xml:space="preserve"> de citros do mundo.   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1"/>
        <w:gridCol w:w="4141"/>
      </w:tblGrid>
      <w:tr w:rsidR="00E42401" w:rsidTr="00EC44A3">
        <w:trPr>
          <w:trHeight w:val="2498"/>
        </w:trPr>
        <w:tc>
          <w:tcPr>
            <w:tcW w:w="4141" w:type="dxa"/>
          </w:tcPr>
          <w:p w:rsidR="00E42401" w:rsidRDefault="00E42401" w:rsidP="00E42401">
            <w:pPr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t-BR"/>
              </w:rPr>
              <w:drawing>
                <wp:inline distT="0" distB="0" distL="0" distR="0" wp14:anchorId="32512C5D">
                  <wp:extent cx="2249805" cy="1286510"/>
                  <wp:effectExtent l="0" t="0" r="0" b="889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9805" cy="12865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sz w:val="24"/>
                <w:szCs w:val="24"/>
              </w:rPr>
              <w:t>a</w:t>
            </w:r>
            <w:r w:rsidR="00585F49">
              <w:rPr>
                <w:sz w:val="24"/>
                <w:szCs w:val="24"/>
              </w:rPr>
              <w:t>)</w:t>
            </w:r>
          </w:p>
        </w:tc>
        <w:tc>
          <w:tcPr>
            <w:tcW w:w="4141" w:type="dxa"/>
          </w:tcPr>
          <w:p w:rsidR="00E42401" w:rsidRDefault="00E42401" w:rsidP="00E42401">
            <w:pPr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t-BR"/>
              </w:rPr>
              <w:drawing>
                <wp:inline distT="0" distB="0" distL="0" distR="0" wp14:anchorId="6A6CE672">
                  <wp:extent cx="2203632" cy="1371600"/>
                  <wp:effectExtent l="0" t="0" r="6350" b="0"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6235" cy="1373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585F49">
              <w:rPr>
                <w:sz w:val="24"/>
                <w:szCs w:val="24"/>
              </w:rPr>
              <w:t xml:space="preserve"> b)</w:t>
            </w:r>
            <w:bookmarkStart w:id="0" w:name="_GoBack"/>
            <w:bookmarkEnd w:id="0"/>
          </w:p>
        </w:tc>
      </w:tr>
      <w:tr w:rsidR="00E42401" w:rsidTr="00EC44A3">
        <w:trPr>
          <w:trHeight w:val="348"/>
        </w:trPr>
        <w:tc>
          <w:tcPr>
            <w:tcW w:w="4141" w:type="dxa"/>
          </w:tcPr>
          <w:p w:rsidR="00E42401" w:rsidRDefault="00585F49" w:rsidP="00E42401">
            <w:pPr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t-BR"/>
              </w:rPr>
              <w:drawing>
                <wp:inline distT="0" distB="0" distL="0" distR="0" wp14:anchorId="309A3054">
                  <wp:extent cx="2209800" cy="1200785"/>
                  <wp:effectExtent l="0" t="0" r="0" b="0"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12007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szCs w:val="24"/>
              </w:rPr>
              <w:t xml:space="preserve"> c)</w:t>
            </w:r>
          </w:p>
        </w:tc>
        <w:tc>
          <w:tcPr>
            <w:tcW w:w="4141" w:type="dxa"/>
          </w:tcPr>
          <w:p w:rsidR="00E42401" w:rsidRDefault="00585F49" w:rsidP="00E42401">
            <w:pPr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t-BR"/>
              </w:rPr>
              <w:drawing>
                <wp:inline distT="0" distB="0" distL="0" distR="0" wp14:anchorId="11D43212">
                  <wp:extent cx="2171700" cy="1266825"/>
                  <wp:effectExtent l="0" t="0" r="0" b="9525"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266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szCs w:val="24"/>
              </w:rPr>
              <w:t xml:space="preserve"> d)</w:t>
            </w:r>
          </w:p>
        </w:tc>
      </w:tr>
    </w:tbl>
    <w:p w:rsidR="00E42401" w:rsidRPr="00CF5A58" w:rsidRDefault="00E42401" w:rsidP="00E42401">
      <w:pPr>
        <w:spacing w:line="240" w:lineRule="auto"/>
        <w:jc w:val="both"/>
      </w:pPr>
      <w:r w:rsidRPr="00CF5A58">
        <w:t>Figura 1. Fotos do manejo do HLB no Brasil a) Inspeção de Plantas, b) Erradicação das plantas</w:t>
      </w:r>
      <w:r w:rsidR="00585F49" w:rsidRPr="00CF5A58">
        <w:t xml:space="preserve"> com sintomas, c) Monitoramento do Psilídeo e d)</w:t>
      </w:r>
      <w:r w:rsidR="00585F49" w:rsidRPr="00585F49">
        <w:t xml:space="preserve"> </w:t>
      </w:r>
      <w:r w:rsidR="00585F49" w:rsidRPr="00CF5A58">
        <w:t>Pulverizações foliares de inseticidas de contato</w:t>
      </w:r>
    </w:p>
    <w:p w:rsidR="00CB07A3" w:rsidRPr="00B950E7" w:rsidRDefault="00E42401" w:rsidP="00CB07A3">
      <w:pPr>
        <w:spacing w:line="240" w:lineRule="auto"/>
        <w:jc w:val="both"/>
      </w:pPr>
      <w:r w:rsidRPr="00B950E7">
        <w:t>Fonte</w:t>
      </w:r>
      <w:r w:rsidR="00DB2B72">
        <w:t>:</w:t>
      </w:r>
      <w:r w:rsidRPr="00B950E7">
        <w:t xml:space="preserve"> </w:t>
      </w:r>
      <w:proofErr w:type="spellStart"/>
      <w:r w:rsidRPr="00B950E7">
        <w:t>Fundecitrus</w:t>
      </w:r>
      <w:proofErr w:type="spellEnd"/>
      <w:r w:rsidRPr="00B950E7">
        <w:t xml:space="preserve"> </w:t>
      </w:r>
      <w:r w:rsidR="00CB07A3" w:rsidRPr="00B950E7">
        <w:t>M</w:t>
      </w:r>
      <w:r w:rsidR="00CE024B" w:rsidRPr="00B950E7">
        <w:t xml:space="preserve">anejo do </w:t>
      </w:r>
      <w:proofErr w:type="spellStart"/>
      <w:r w:rsidR="00CE024B" w:rsidRPr="00B950E7">
        <w:t>greening</w:t>
      </w:r>
      <w:proofErr w:type="spellEnd"/>
      <w:r w:rsidR="00CB07A3" w:rsidRPr="00B950E7">
        <w:t xml:space="preserve">: 10 </w:t>
      </w:r>
      <w:r w:rsidR="00CE024B" w:rsidRPr="00B950E7">
        <w:t>Mandamentos para o sucesso no controle da doença</w:t>
      </w:r>
      <w:r w:rsidR="00CB07A3" w:rsidRPr="00B950E7">
        <w:t>. Disponível no Link</w:t>
      </w:r>
    </w:p>
    <w:p w:rsidR="00E42401" w:rsidRDefault="00CB07A3" w:rsidP="00682B41">
      <w:pPr>
        <w:spacing w:line="240" w:lineRule="auto"/>
        <w:jc w:val="both"/>
        <w:rPr>
          <w:rStyle w:val="Hyperlink"/>
        </w:rPr>
      </w:pPr>
      <w:r w:rsidRPr="00B950E7">
        <w:t xml:space="preserve"> </w:t>
      </w:r>
      <w:hyperlink r:id="rId9" w:history="1">
        <w:r w:rsidRPr="00B950E7">
          <w:rPr>
            <w:rStyle w:val="Hyperlink"/>
          </w:rPr>
          <w:t>https://www.fundecitrus.com.br/comunicacao/noticias/integra/novo-manual-de-manejo-do-greening-esta-disponivel-no-site-do-fundecitrus/709</w:t>
        </w:r>
      </w:hyperlink>
    </w:p>
    <w:p w:rsidR="001E1E8A" w:rsidRDefault="00AC3852" w:rsidP="001E1E8A">
      <w:pPr>
        <w:pStyle w:val="PargrafodaLista"/>
        <w:numPr>
          <w:ilvl w:val="0"/>
          <w:numId w:val="3"/>
        </w:numPr>
        <w:spacing w:line="240" w:lineRule="auto"/>
        <w:jc w:val="both"/>
      </w:pPr>
      <w:r>
        <w:t>Coordenador</w:t>
      </w:r>
      <w:r w:rsidR="001E1E8A">
        <w:t xml:space="preserve"> de Cursos na FUNEP</w:t>
      </w:r>
      <w:r>
        <w:t xml:space="preserve"> e Professor Convidado na UNESP-FCAV -Jaboticabal </w:t>
      </w:r>
    </w:p>
    <w:p w:rsidR="00AC3852" w:rsidRDefault="00AC3852" w:rsidP="00AC3852">
      <w:pPr>
        <w:pStyle w:val="PargrafodaLista"/>
        <w:spacing w:line="240" w:lineRule="auto"/>
        <w:jc w:val="both"/>
      </w:pPr>
      <w:r>
        <w:t>+5516997454608</w:t>
      </w:r>
    </w:p>
    <w:p w:rsidR="00AC3852" w:rsidRPr="001E1E8A" w:rsidRDefault="00AC3852" w:rsidP="00AC3852">
      <w:pPr>
        <w:pStyle w:val="PargrafodaLista"/>
        <w:spacing w:line="240" w:lineRule="auto"/>
        <w:jc w:val="both"/>
      </w:pPr>
      <w:r>
        <w:t>jeaurrieta@gmail.com</w:t>
      </w:r>
    </w:p>
    <w:sectPr w:rsidR="00AC3852" w:rsidRPr="001E1E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CC65E9"/>
    <w:multiLevelType w:val="hybridMultilevel"/>
    <w:tmpl w:val="8C9848E6"/>
    <w:lvl w:ilvl="0" w:tplc="AE54666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7C427E"/>
    <w:multiLevelType w:val="hybridMultilevel"/>
    <w:tmpl w:val="371EEE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C47C55"/>
    <w:multiLevelType w:val="hybridMultilevel"/>
    <w:tmpl w:val="E75C782E"/>
    <w:lvl w:ilvl="0" w:tplc="23109C9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2593"/>
    <w:rsid w:val="00003C40"/>
    <w:rsid w:val="000B7E25"/>
    <w:rsid w:val="000D0BF5"/>
    <w:rsid w:val="001361D8"/>
    <w:rsid w:val="001C1268"/>
    <w:rsid w:val="001E1E8A"/>
    <w:rsid w:val="002054E1"/>
    <w:rsid w:val="002A6A24"/>
    <w:rsid w:val="002B5FAC"/>
    <w:rsid w:val="002D43F2"/>
    <w:rsid w:val="00317EED"/>
    <w:rsid w:val="003570B1"/>
    <w:rsid w:val="003E27E1"/>
    <w:rsid w:val="004E0939"/>
    <w:rsid w:val="005179B6"/>
    <w:rsid w:val="005831AB"/>
    <w:rsid w:val="00585F49"/>
    <w:rsid w:val="005E0C37"/>
    <w:rsid w:val="00665AFB"/>
    <w:rsid w:val="00682B41"/>
    <w:rsid w:val="006C049B"/>
    <w:rsid w:val="00756693"/>
    <w:rsid w:val="007970EA"/>
    <w:rsid w:val="007D6BBD"/>
    <w:rsid w:val="008F6A24"/>
    <w:rsid w:val="008F79BC"/>
    <w:rsid w:val="00962593"/>
    <w:rsid w:val="00A05683"/>
    <w:rsid w:val="00A90F5C"/>
    <w:rsid w:val="00AC3852"/>
    <w:rsid w:val="00B74964"/>
    <w:rsid w:val="00B950E7"/>
    <w:rsid w:val="00BA4D6F"/>
    <w:rsid w:val="00CB07A3"/>
    <w:rsid w:val="00CE024B"/>
    <w:rsid w:val="00CF5A58"/>
    <w:rsid w:val="00DB2B72"/>
    <w:rsid w:val="00DB47C2"/>
    <w:rsid w:val="00DC30CB"/>
    <w:rsid w:val="00E42401"/>
    <w:rsid w:val="00EC44A3"/>
    <w:rsid w:val="00F57C3B"/>
    <w:rsid w:val="00F77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70BFE"/>
  <w15:chartTrackingRefBased/>
  <w15:docId w15:val="{6C7D51EF-FB55-461B-93D1-20565277C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361D8"/>
    <w:pPr>
      <w:ind w:left="720"/>
      <w:contextualSpacing/>
    </w:pPr>
  </w:style>
  <w:style w:type="table" w:styleId="Tabelacomgrade">
    <w:name w:val="Table Grid"/>
    <w:basedOn w:val="Tabelanormal"/>
    <w:uiPriority w:val="39"/>
    <w:rsid w:val="00E424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CB07A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fundecitrus.com.br/comunicacao/noticias/integra/novo-manual-de-manejo-do-greening-esta-disponivel-no-site-do-fundecitrus/709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2120</Words>
  <Characters>11452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Nicole Maria Donadio</cp:lastModifiedBy>
  <cp:revision>2</cp:revision>
  <dcterms:created xsi:type="dcterms:W3CDTF">2022-03-23T15:02:00Z</dcterms:created>
  <dcterms:modified xsi:type="dcterms:W3CDTF">2022-03-23T15:02:00Z</dcterms:modified>
</cp:coreProperties>
</file>